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F23DF" w14:textId="6AA1544D" w:rsidR="00C56252" w:rsidRPr="00D050BE" w:rsidRDefault="00527CE5" w:rsidP="00C56252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</w:t>
      </w:r>
      <w:r w:rsidR="0045005A">
        <w:rPr>
          <w:noProof/>
        </w:rPr>
        <w:drawing>
          <wp:anchor distT="0" distB="0" distL="114300" distR="114300" simplePos="0" relativeHeight="251658240" behindDoc="0" locked="0" layoutInCell="1" allowOverlap="1" wp14:anchorId="4A2C0A5A" wp14:editId="756F9794">
            <wp:simplePos x="0" y="0"/>
            <wp:positionH relativeFrom="column">
              <wp:posOffset>313055</wp:posOffset>
            </wp:positionH>
            <wp:positionV relativeFrom="paragraph">
              <wp:posOffset>3175</wp:posOffset>
            </wp:positionV>
            <wp:extent cx="1917700" cy="495300"/>
            <wp:effectExtent l="0" t="0" r="0" b="0"/>
            <wp:wrapSquare wrapText="bothSides"/>
            <wp:docPr id="1997385499" name="Bildobjekt 1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385499" name="Bildobjekt 1" descr="En bild som visar logotyp&#10;&#10;Automatiskt genererad beskriv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74" r="900" b="24242"/>
                    <a:stretch/>
                  </pic:blipFill>
                  <pic:spPr bwMode="auto">
                    <a:xfrm>
                      <a:off x="0" y="0"/>
                      <a:ext cx="1917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="Arial"/>
          <w:b/>
          <w:sz w:val="24"/>
          <w:szCs w:val="24"/>
        </w:rPr>
        <w:t xml:space="preserve">   </w:t>
      </w:r>
      <w:r w:rsidR="00C56252" w:rsidRPr="00D050BE">
        <w:rPr>
          <w:rFonts w:cs="Arial"/>
          <w:b/>
          <w:sz w:val="24"/>
          <w:szCs w:val="24"/>
        </w:rPr>
        <w:t>Et</w:t>
      </w:r>
      <w:r w:rsidR="003A6ACF">
        <w:rPr>
          <w:rFonts w:cs="Arial"/>
          <w:b/>
          <w:sz w:val="24"/>
          <w:szCs w:val="24"/>
        </w:rPr>
        <w:t>t projekt från Rotary Doctors</w:t>
      </w:r>
      <w:r w:rsidR="00D050BE">
        <w:rPr>
          <w:rFonts w:cs="Arial"/>
          <w:b/>
          <w:sz w:val="24"/>
          <w:szCs w:val="24"/>
        </w:rPr>
        <w:t xml:space="preserve"> - söker</w:t>
      </w:r>
      <w:r w:rsidR="00680C97" w:rsidRPr="00D050BE">
        <w:rPr>
          <w:rFonts w:cs="Arial"/>
          <w:b/>
          <w:sz w:val="24"/>
          <w:szCs w:val="24"/>
        </w:rPr>
        <w:t xml:space="preserve"> stöd från en Rotaryklubb</w:t>
      </w:r>
    </w:p>
    <w:p w14:paraId="014FE514" w14:textId="2AFFEA6B" w:rsidR="002522F2" w:rsidRPr="00F41CDD" w:rsidRDefault="00C56252" w:rsidP="002522F2">
      <w:pPr>
        <w:rPr>
          <w:rFonts w:cs="Arial"/>
        </w:rPr>
      </w:pPr>
      <w:r w:rsidRPr="00B321BD">
        <w:rPr>
          <w:rFonts w:cs="Arial"/>
          <w:b/>
        </w:rPr>
        <w:t>Namn:</w:t>
      </w:r>
      <w:r w:rsidRPr="00B321BD">
        <w:rPr>
          <w:rFonts w:cs="Arial"/>
        </w:rPr>
        <w:t xml:space="preserve"> </w:t>
      </w:r>
      <w:r w:rsidR="004C5F3E" w:rsidRPr="00B321BD">
        <w:rPr>
          <w:rFonts w:cs="Arial"/>
          <w:b/>
          <w:i/>
        </w:rPr>
        <w:t xml:space="preserve">Utbildning av </w:t>
      </w:r>
      <w:proofErr w:type="spellStart"/>
      <w:r w:rsidR="004C5F3E" w:rsidRPr="00B321BD">
        <w:rPr>
          <w:rFonts w:cs="Arial"/>
          <w:b/>
          <w:i/>
        </w:rPr>
        <w:t>byhälsovolontärer</w:t>
      </w:r>
      <w:proofErr w:type="spellEnd"/>
      <w:r w:rsidR="004C5F3E" w:rsidRPr="00B321BD">
        <w:rPr>
          <w:rFonts w:cs="Arial"/>
          <w:b/>
          <w:i/>
        </w:rPr>
        <w:t xml:space="preserve">, </w:t>
      </w:r>
      <w:r w:rsidR="00D050BE">
        <w:rPr>
          <w:rFonts w:cs="Arial"/>
          <w:b/>
          <w:i/>
        </w:rPr>
        <w:t>västra Kenya</w:t>
      </w:r>
      <w:r w:rsidR="009B40B6" w:rsidRPr="00761AEB">
        <w:rPr>
          <w:rFonts w:cs="Arial"/>
          <w:b/>
          <w:i/>
          <w:color w:val="FF0000"/>
        </w:rPr>
        <w:br/>
      </w:r>
      <w:proofErr w:type="spellStart"/>
      <w:r w:rsidR="004C5F3E">
        <w:rPr>
          <w:rFonts w:cs="Arial"/>
        </w:rPr>
        <w:t>Byhälsovolontär</w:t>
      </w:r>
      <w:proofErr w:type="spellEnd"/>
      <w:r w:rsidR="009B40B6">
        <w:rPr>
          <w:rFonts w:cs="Arial"/>
        </w:rPr>
        <w:t xml:space="preserve"> som är utbildade i basal hälsovård samt första hjälpen </w:t>
      </w:r>
      <w:r w:rsidR="00CF3E62">
        <w:rPr>
          <w:rFonts w:cs="Arial"/>
        </w:rPr>
        <w:t>gö</w:t>
      </w:r>
      <w:r w:rsidR="009B40B6">
        <w:rPr>
          <w:rFonts w:cs="Arial"/>
        </w:rPr>
        <w:t>r</w:t>
      </w:r>
      <w:r w:rsidR="00CF3E62">
        <w:rPr>
          <w:rFonts w:cs="Arial"/>
        </w:rPr>
        <w:t xml:space="preserve"> stora insatser i sina byar</w:t>
      </w:r>
      <w:r w:rsidR="00547CEA">
        <w:rPr>
          <w:rFonts w:cs="Arial"/>
        </w:rPr>
        <w:t xml:space="preserve">. </w:t>
      </w:r>
      <w:r w:rsidR="00A671D3">
        <w:rPr>
          <w:rFonts w:cs="Arial"/>
        </w:rPr>
        <w:t xml:space="preserve">De är utsedda av </w:t>
      </w:r>
      <w:proofErr w:type="spellStart"/>
      <w:r w:rsidR="00A671D3">
        <w:rPr>
          <w:rFonts w:cs="Arial"/>
        </w:rPr>
        <w:t>byledarna</w:t>
      </w:r>
      <w:proofErr w:type="spellEnd"/>
      <w:r w:rsidR="00076901">
        <w:rPr>
          <w:rFonts w:cs="Arial"/>
        </w:rPr>
        <w:t xml:space="preserve"> för att de är respekterade av andra bybor</w:t>
      </w:r>
      <w:r w:rsidR="00CF3E62">
        <w:rPr>
          <w:rFonts w:cs="Arial"/>
        </w:rPr>
        <w:t xml:space="preserve">. </w:t>
      </w:r>
      <w:r w:rsidR="009B40B6">
        <w:rPr>
          <w:rFonts w:cs="Arial"/>
        </w:rPr>
        <w:t xml:space="preserve">Varje utbildad volontär har ansvar för </w:t>
      </w:r>
      <w:r w:rsidR="00CF3E62">
        <w:rPr>
          <w:rFonts w:cs="Arial"/>
        </w:rPr>
        <w:t xml:space="preserve">ca </w:t>
      </w:r>
      <w:r w:rsidR="00D22199">
        <w:rPr>
          <w:rFonts w:cs="Arial"/>
        </w:rPr>
        <w:t>60</w:t>
      </w:r>
      <w:r w:rsidR="00B321BD">
        <w:rPr>
          <w:rFonts w:cs="Arial"/>
        </w:rPr>
        <w:t xml:space="preserve"> </w:t>
      </w:r>
      <w:r w:rsidR="00087F33">
        <w:rPr>
          <w:rFonts w:cs="Arial"/>
        </w:rPr>
        <w:t>hushåll</w:t>
      </w:r>
      <w:r w:rsidR="00076901">
        <w:rPr>
          <w:rFonts w:cs="Arial"/>
        </w:rPr>
        <w:t xml:space="preserve"> och</w:t>
      </w:r>
      <w:r w:rsidR="00CF3E62">
        <w:rPr>
          <w:rFonts w:cs="Arial"/>
        </w:rPr>
        <w:t xml:space="preserve"> är en del av det officiella hälsovårdssystemet i Kenya</w:t>
      </w:r>
      <w:r w:rsidR="00076901">
        <w:rPr>
          <w:rFonts w:cs="Arial"/>
        </w:rPr>
        <w:t>. Det</w:t>
      </w:r>
      <w:r w:rsidR="00CF3E62">
        <w:rPr>
          <w:rFonts w:cs="Arial"/>
        </w:rPr>
        <w:t xml:space="preserve"> finns 10 volontärer inom en så kallad Community </w:t>
      </w:r>
      <w:proofErr w:type="spellStart"/>
      <w:r w:rsidR="00CF3E62">
        <w:rPr>
          <w:rFonts w:cs="Arial"/>
        </w:rPr>
        <w:t>Unit</w:t>
      </w:r>
      <w:proofErr w:type="spellEnd"/>
      <w:r w:rsidR="00CF3E62">
        <w:rPr>
          <w:rFonts w:cs="Arial"/>
        </w:rPr>
        <w:t xml:space="preserve"> som består av ett antal byar med totalt ca </w:t>
      </w:r>
      <w:r w:rsidR="00D22199">
        <w:rPr>
          <w:rFonts w:cs="Arial"/>
        </w:rPr>
        <w:t>600</w:t>
      </w:r>
      <w:r w:rsidR="00CF3E62">
        <w:rPr>
          <w:rFonts w:cs="Arial"/>
        </w:rPr>
        <w:t xml:space="preserve"> hushåll. </w:t>
      </w:r>
      <w:r w:rsidR="00A671D3">
        <w:rPr>
          <w:rFonts w:cs="Arial"/>
        </w:rPr>
        <w:t xml:space="preserve">Dessa </w:t>
      </w:r>
      <w:proofErr w:type="spellStart"/>
      <w:r w:rsidR="00A671D3">
        <w:rPr>
          <w:rFonts w:cs="Arial"/>
        </w:rPr>
        <w:t>b</w:t>
      </w:r>
      <w:r w:rsidR="00076901">
        <w:rPr>
          <w:rFonts w:cs="Arial"/>
        </w:rPr>
        <w:t>yhälsovolontärer</w:t>
      </w:r>
      <w:proofErr w:type="spellEnd"/>
      <w:r w:rsidR="00076901">
        <w:rPr>
          <w:rFonts w:cs="Arial"/>
        </w:rPr>
        <w:t xml:space="preserve"> behöver regelbunden fortbildning. </w:t>
      </w:r>
      <w:r w:rsidR="00F41CDD" w:rsidRPr="00F41CDD">
        <w:rPr>
          <w:rFonts w:cs="Arial"/>
        </w:rPr>
        <w:t xml:space="preserve"> </w:t>
      </w:r>
    </w:p>
    <w:p w14:paraId="7113D32E" w14:textId="4F025D7F" w:rsidR="00063AE4" w:rsidRDefault="00C56252">
      <w:pPr>
        <w:rPr>
          <w:rFonts w:cs="Arial"/>
        </w:rPr>
      </w:pPr>
      <w:r w:rsidRPr="00F41CDD">
        <w:rPr>
          <w:rFonts w:cs="Arial"/>
          <w:b/>
        </w:rPr>
        <w:t>Målsättning</w:t>
      </w:r>
      <w:r w:rsidR="004C5F3E">
        <w:rPr>
          <w:rFonts w:cs="Arial"/>
          <w:b/>
        </w:rPr>
        <w:t xml:space="preserve"> i detta projekt</w:t>
      </w:r>
      <w:r w:rsidRPr="00F41CDD">
        <w:rPr>
          <w:rFonts w:cs="Arial"/>
          <w:b/>
        </w:rPr>
        <w:t>:</w:t>
      </w:r>
      <w:r w:rsidRPr="00F41CDD">
        <w:rPr>
          <w:rFonts w:cs="Arial"/>
        </w:rPr>
        <w:t xml:space="preserve"> </w:t>
      </w:r>
      <w:r w:rsidR="002522F2" w:rsidRPr="00F41CDD">
        <w:rPr>
          <w:rFonts w:cs="Arial"/>
        </w:rPr>
        <w:br/>
      </w:r>
      <w:r w:rsidR="00417528">
        <w:rPr>
          <w:rFonts w:cs="Arial"/>
        </w:rPr>
        <w:t>Målet är att</w:t>
      </w:r>
      <w:r w:rsidR="00547CEA">
        <w:rPr>
          <w:rFonts w:cs="Arial"/>
        </w:rPr>
        <w:t xml:space="preserve"> fortbilda </w:t>
      </w:r>
      <w:r w:rsidR="00CF3E62">
        <w:rPr>
          <w:rFonts w:cs="Arial"/>
        </w:rPr>
        <w:t>tio</w:t>
      </w:r>
      <w:r w:rsidR="00030F97">
        <w:rPr>
          <w:rFonts w:cs="Arial"/>
        </w:rPr>
        <w:t xml:space="preserve"> </w:t>
      </w:r>
      <w:proofErr w:type="spellStart"/>
      <w:r w:rsidR="00030F97">
        <w:rPr>
          <w:rFonts w:cs="Arial"/>
        </w:rPr>
        <w:t>byhälsovolontärer</w:t>
      </w:r>
      <w:proofErr w:type="spellEnd"/>
      <w:r w:rsidR="00CF3E62">
        <w:rPr>
          <w:rFonts w:cs="Arial"/>
        </w:rPr>
        <w:t xml:space="preserve"> i en Communit</w:t>
      </w:r>
      <w:r w:rsidR="00063AE4">
        <w:rPr>
          <w:rFonts w:cs="Arial"/>
        </w:rPr>
        <w:t xml:space="preserve">y </w:t>
      </w:r>
      <w:proofErr w:type="spellStart"/>
      <w:r w:rsidR="00063AE4">
        <w:rPr>
          <w:rFonts w:cs="Arial"/>
        </w:rPr>
        <w:t>Unit</w:t>
      </w:r>
      <w:proofErr w:type="spellEnd"/>
      <w:r w:rsidR="00063AE4">
        <w:rPr>
          <w:rFonts w:cs="Arial"/>
        </w:rPr>
        <w:t xml:space="preserve"> </w:t>
      </w:r>
      <w:r w:rsidR="00CF3E62">
        <w:rPr>
          <w:rFonts w:cs="Arial"/>
        </w:rPr>
        <w:t>som ska informera sina hushåll om hälsofrågor</w:t>
      </w:r>
      <w:r w:rsidR="00417528">
        <w:rPr>
          <w:rFonts w:cs="Arial"/>
        </w:rPr>
        <w:t>;</w:t>
      </w:r>
      <w:r w:rsidR="00CF3E62">
        <w:rPr>
          <w:rFonts w:cs="Arial"/>
        </w:rPr>
        <w:t xml:space="preserve"> </w:t>
      </w:r>
      <w:r w:rsidR="00063AE4">
        <w:rPr>
          <w:rFonts w:cs="Arial"/>
        </w:rPr>
        <w:t>om</w:t>
      </w:r>
      <w:r w:rsidR="00076901">
        <w:rPr>
          <w:rFonts w:cs="Arial"/>
        </w:rPr>
        <w:t xml:space="preserve"> </w:t>
      </w:r>
      <w:r w:rsidR="003976D1">
        <w:rPr>
          <w:rFonts w:cs="Arial"/>
        </w:rPr>
        <w:t>enklare sjukdomar</w:t>
      </w:r>
      <w:r w:rsidR="00076901">
        <w:rPr>
          <w:rFonts w:cs="Arial"/>
        </w:rPr>
        <w:t xml:space="preserve">, om nutrition, </w:t>
      </w:r>
      <w:r w:rsidR="00CF3E62">
        <w:rPr>
          <w:rFonts w:cs="Arial"/>
        </w:rPr>
        <w:t>kontroller</w:t>
      </w:r>
      <w:r w:rsidR="00076901">
        <w:rPr>
          <w:rFonts w:cs="Arial"/>
        </w:rPr>
        <w:t>a</w:t>
      </w:r>
      <w:r w:rsidR="00CF3E62">
        <w:rPr>
          <w:rFonts w:cs="Arial"/>
        </w:rPr>
        <w:t xml:space="preserve"> att barn får </w:t>
      </w:r>
      <w:r w:rsidR="00A671D3">
        <w:rPr>
          <w:rFonts w:cs="Arial"/>
        </w:rPr>
        <w:t xml:space="preserve">alla </w:t>
      </w:r>
      <w:r w:rsidR="00CF3E62">
        <w:rPr>
          <w:rFonts w:cs="Arial"/>
        </w:rPr>
        <w:t>vaccinationer,</w:t>
      </w:r>
      <w:r w:rsidR="003976D1">
        <w:rPr>
          <w:rFonts w:cs="Arial"/>
        </w:rPr>
        <w:t xml:space="preserve"> om familjeplanering,</w:t>
      </w:r>
      <w:r w:rsidR="00CF3E62">
        <w:rPr>
          <w:rFonts w:cs="Arial"/>
        </w:rPr>
        <w:t xml:space="preserve"> ge råd och stöd till </w:t>
      </w:r>
      <w:r w:rsidR="00076901">
        <w:rPr>
          <w:rFonts w:cs="Arial"/>
        </w:rPr>
        <w:t xml:space="preserve">sina hushåll när någon blir sjuk. </w:t>
      </w:r>
      <w:r w:rsidR="00063AE4">
        <w:rPr>
          <w:rFonts w:cs="Arial"/>
        </w:rPr>
        <w:t xml:space="preserve">Volontärerna får också rapporteringsmaterial så att de regelbundet kan rapportera om hälsotillståndet i deras byar. </w:t>
      </w:r>
    </w:p>
    <w:p w14:paraId="20997E48" w14:textId="1498D726" w:rsidR="002522F2" w:rsidRPr="00F41CDD" w:rsidRDefault="00C56252">
      <w:pPr>
        <w:rPr>
          <w:rFonts w:cs="Arial"/>
        </w:rPr>
      </w:pPr>
      <w:r w:rsidRPr="00F41CDD">
        <w:rPr>
          <w:rFonts w:cs="Arial"/>
          <w:b/>
        </w:rPr>
        <w:t>Projektinnehåll:</w:t>
      </w:r>
      <w:r w:rsidR="002522F2" w:rsidRPr="00F41CDD">
        <w:rPr>
          <w:rFonts w:cs="Arial"/>
          <w:b/>
        </w:rPr>
        <w:br/>
      </w:r>
      <w:r w:rsidR="009B40B6">
        <w:rPr>
          <w:rFonts w:cs="Arial"/>
        </w:rPr>
        <w:t>Volontärer</w:t>
      </w:r>
      <w:r w:rsidR="00CF3E62">
        <w:rPr>
          <w:rFonts w:cs="Arial"/>
        </w:rPr>
        <w:t>na</w:t>
      </w:r>
      <w:r w:rsidR="009B40B6">
        <w:rPr>
          <w:rFonts w:cs="Arial"/>
        </w:rPr>
        <w:t xml:space="preserve"> </w:t>
      </w:r>
      <w:r w:rsidR="00CF3E62">
        <w:rPr>
          <w:rFonts w:cs="Arial"/>
        </w:rPr>
        <w:t xml:space="preserve">får en fem-dagars </w:t>
      </w:r>
      <w:r w:rsidR="00D050BE">
        <w:rPr>
          <w:rFonts w:cs="Arial"/>
        </w:rPr>
        <w:t xml:space="preserve">kurs </w:t>
      </w:r>
      <w:r w:rsidR="00A671D3">
        <w:rPr>
          <w:rFonts w:cs="Arial"/>
        </w:rPr>
        <w:t>om vaccination</w:t>
      </w:r>
      <w:r w:rsidR="00087F33">
        <w:rPr>
          <w:rFonts w:cs="Arial"/>
        </w:rPr>
        <w:t>,</w:t>
      </w:r>
      <w:r w:rsidR="00547CEA">
        <w:rPr>
          <w:rFonts w:cs="Arial"/>
        </w:rPr>
        <w:t xml:space="preserve"> nutrition,</w:t>
      </w:r>
      <w:r w:rsidR="00087F33">
        <w:rPr>
          <w:rFonts w:cs="Arial"/>
        </w:rPr>
        <w:t xml:space="preserve"> </w:t>
      </w:r>
      <w:r w:rsidR="00547CEA">
        <w:rPr>
          <w:rFonts w:cs="Arial"/>
        </w:rPr>
        <w:t>barn- och mödravård, smittsamma och icke-smittsamma sju</w:t>
      </w:r>
      <w:r w:rsidR="00B321BD">
        <w:rPr>
          <w:rFonts w:cs="Arial"/>
        </w:rPr>
        <w:t xml:space="preserve">kdomar samt datainsamling och </w:t>
      </w:r>
      <w:r w:rsidR="00547CEA">
        <w:rPr>
          <w:rFonts w:cs="Arial"/>
        </w:rPr>
        <w:t>rapporteringsteknik</w:t>
      </w:r>
      <w:r w:rsidR="00087F33">
        <w:rPr>
          <w:rFonts w:cs="Arial"/>
        </w:rPr>
        <w:t xml:space="preserve">. </w:t>
      </w:r>
      <w:r w:rsidR="00063AE4">
        <w:rPr>
          <w:rFonts w:cs="Arial"/>
        </w:rPr>
        <w:t xml:space="preserve">Två Community Extension </w:t>
      </w:r>
      <w:proofErr w:type="spellStart"/>
      <w:r w:rsidR="00063AE4">
        <w:rPr>
          <w:rFonts w:cs="Arial"/>
        </w:rPr>
        <w:t>Workers</w:t>
      </w:r>
      <w:proofErr w:type="spellEnd"/>
      <w:r w:rsidR="003976D1">
        <w:rPr>
          <w:rFonts w:cs="Arial"/>
        </w:rPr>
        <w:t xml:space="preserve"> från hälsomyndigheterna</w:t>
      </w:r>
      <w:r w:rsidR="00063AE4">
        <w:rPr>
          <w:rFonts w:cs="Arial"/>
        </w:rPr>
        <w:t xml:space="preserve"> kommer att delta i kursen. Deras uppgift är att följa upp och stödja volontärerna efter fortbildningen. 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3951"/>
      </w:tblGrid>
      <w:tr w:rsidR="008B77A1" w:rsidRPr="00F41CDD" w14:paraId="30162102" w14:textId="77777777" w:rsidTr="008B77A1">
        <w:tc>
          <w:tcPr>
            <w:tcW w:w="2802" w:type="dxa"/>
          </w:tcPr>
          <w:p w14:paraId="3B8E44D5" w14:textId="77777777" w:rsidR="008B77A1" w:rsidRPr="00F41CDD" w:rsidRDefault="008B77A1">
            <w:pPr>
              <w:rPr>
                <w:rFonts w:cs="Arial"/>
                <w:b/>
              </w:rPr>
            </w:pPr>
            <w:r w:rsidRPr="00F41CDD">
              <w:rPr>
                <w:rFonts w:cs="Arial"/>
                <w:b/>
              </w:rPr>
              <w:t>Budget:</w:t>
            </w:r>
          </w:p>
        </w:tc>
        <w:tc>
          <w:tcPr>
            <w:tcW w:w="2268" w:type="dxa"/>
          </w:tcPr>
          <w:p w14:paraId="5BF36D74" w14:textId="77777777" w:rsidR="008B77A1" w:rsidRPr="00F41CDD" w:rsidRDefault="008B77A1" w:rsidP="00680C97">
            <w:pPr>
              <w:jc w:val="center"/>
              <w:rPr>
                <w:rFonts w:cs="Arial"/>
                <w:b/>
              </w:rPr>
            </w:pPr>
            <w:r w:rsidRPr="00F41CDD">
              <w:rPr>
                <w:rFonts w:cs="Arial"/>
                <w:b/>
              </w:rPr>
              <w:t>Svenska kronor</w:t>
            </w:r>
          </w:p>
        </w:tc>
        <w:tc>
          <w:tcPr>
            <w:tcW w:w="3685" w:type="dxa"/>
            <w:vMerge w:val="restart"/>
          </w:tcPr>
          <w:p w14:paraId="24BADF52" w14:textId="77777777" w:rsidR="008B77A1" w:rsidRPr="00F41CDD" w:rsidRDefault="00B3616C" w:rsidP="00680C97">
            <w:pPr>
              <w:jc w:val="center"/>
              <w:rPr>
                <w:rFonts w:cs="Arial"/>
                <w:b/>
              </w:rPr>
            </w:pPr>
            <w:r w:rsidRPr="00B3616C">
              <w:rPr>
                <w:rFonts w:cs="Arial"/>
                <w:b/>
                <w:noProof/>
                <w:lang w:eastAsia="sv-SE"/>
              </w:rPr>
              <w:drawing>
                <wp:inline distT="0" distB="0" distL="0" distR="0" wp14:anchorId="5584F9D0" wp14:editId="69708471">
                  <wp:extent cx="2352675" cy="1942355"/>
                  <wp:effectExtent l="19050" t="0" r="0" b="0"/>
                  <wp:docPr id="2" name="Picture 1" descr="I:\PHO &amp; CHEW DEMONSTRATING H WASH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PHO &amp; CHEW DEMONSTRATING H WASH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"/>
                          </a:blip>
                          <a:srcRect t="23563" r="16772" b="265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575" cy="1950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7A1" w:rsidRPr="00F41CDD" w14:paraId="17758678" w14:textId="77777777" w:rsidTr="008B77A1">
        <w:tc>
          <w:tcPr>
            <w:tcW w:w="2802" w:type="dxa"/>
          </w:tcPr>
          <w:p w14:paraId="5BFD29DC" w14:textId="77777777" w:rsidR="008B77A1" w:rsidRPr="00F41CDD" w:rsidRDefault="009C19D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Rese, </w:t>
            </w:r>
            <w:r w:rsidR="004A6F8E">
              <w:rPr>
                <w:rFonts w:cs="Arial"/>
                <w:b/>
              </w:rPr>
              <w:t>matkostnader</w:t>
            </w:r>
            <w:r>
              <w:rPr>
                <w:rFonts w:cs="Arial"/>
                <w:b/>
              </w:rPr>
              <w:t>, kurslokal</w:t>
            </w:r>
          </w:p>
        </w:tc>
        <w:tc>
          <w:tcPr>
            <w:tcW w:w="2268" w:type="dxa"/>
          </w:tcPr>
          <w:p w14:paraId="1A3BB87D" w14:textId="0B6BE99C" w:rsidR="008B77A1" w:rsidRPr="00F41CDD" w:rsidRDefault="00B05148" w:rsidP="00680C9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br/>
            </w:r>
            <w:r w:rsidR="009C19D6">
              <w:rPr>
                <w:rFonts w:cs="Arial"/>
                <w:b/>
              </w:rPr>
              <w:t>1</w:t>
            </w:r>
            <w:r w:rsidR="00371AD2">
              <w:rPr>
                <w:rFonts w:cs="Arial"/>
                <w:b/>
              </w:rPr>
              <w:t>2</w:t>
            </w:r>
            <w:r w:rsidR="009C19D6">
              <w:rPr>
                <w:rFonts w:cs="Arial"/>
                <w:b/>
              </w:rPr>
              <w:t xml:space="preserve"> 000</w:t>
            </w:r>
          </w:p>
        </w:tc>
        <w:tc>
          <w:tcPr>
            <w:tcW w:w="3685" w:type="dxa"/>
            <w:vMerge/>
          </w:tcPr>
          <w:p w14:paraId="0021458B" w14:textId="77777777" w:rsidR="008B77A1" w:rsidRPr="00F41CDD" w:rsidRDefault="008B77A1" w:rsidP="00680C97">
            <w:pPr>
              <w:jc w:val="center"/>
              <w:rPr>
                <w:rFonts w:cs="Arial"/>
                <w:b/>
              </w:rPr>
            </w:pPr>
          </w:p>
        </w:tc>
      </w:tr>
      <w:tr w:rsidR="008B77A1" w:rsidRPr="00F41CDD" w14:paraId="218EAC7C" w14:textId="77777777" w:rsidTr="008B77A1">
        <w:tc>
          <w:tcPr>
            <w:tcW w:w="2802" w:type="dxa"/>
          </w:tcPr>
          <w:p w14:paraId="12B45A14" w14:textId="77777777" w:rsidR="00B05148" w:rsidRDefault="00B05148">
            <w:pPr>
              <w:rPr>
                <w:rFonts w:cs="Arial"/>
                <w:b/>
              </w:rPr>
            </w:pPr>
          </w:p>
          <w:p w14:paraId="2BF060C1" w14:textId="77777777" w:rsidR="008B77A1" w:rsidRPr="00F41CDD" w:rsidRDefault="004A6F8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Utbildare</w:t>
            </w:r>
          </w:p>
        </w:tc>
        <w:tc>
          <w:tcPr>
            <w:tcW w:w="2268" w:type="dxa"/>
          </w:tcPr>
          <w:p w14:paraId="3FBC8D95" w14:textId="602EA5FB" w:rsidR="008B77A1" w:rsidRPr="00F41CDD" w:rsidRDefault="00B05148" w:rsidP="00680C9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br/>
            </w:r>
            <w:r w:rsidR="00371AD2">
              <w:rPr>
                <w:rFonts w:cs="Arial"/>
                <w:b/>
              </w:rPr>
              <w:t>6</w:t>
            </w:r>
            <w:r w:rsidR="00B30C19">
              <w:rPr>
                <w:rFonts w:cs="Arial"/>
                <w:b/>
              </w:rPr>
              <w:t xml:space="preserve"> 000</w:t>
            </w:r>
          </w:p>
        </w:tc>
        <w:tc>
          <w:tcPr>
            <w:tcW w:w="3685" w:type="dxa"/>
            <w:vMerge/>
          </w:tcPr>
          <w:p w14:paraId="3F906565" w14:textId="77777777" w:rsidR="008B77A1" w:rsidRPr="00F41CDD" w:rsidRDefault="008B77A1" w:rsidP="00680C97">
            <w:pPr>
              <w:jc w:val="center"/>
              <w:rPr>
                <w:rFonts w:cs="Arial"/>
                <w:b/>
              </w:rPr>
            </w:pPr>
          </w:p>
        </w:tc>
      </w:tr>
      <w:tr w:rsidR="008B77A1" w:rsidRPr="00F41CDD" w14:paraId="45D8CB6F" w14:textId="77777777" w:rsidTr="008B77A1">
        <w:tc>
          <w:tcPr>
            <w:tcW w:w="2802" w:type="dxa"/>
          </w:tcPr>
          <w:p w14:paraId="797BCDE3" w14:textId="77777777" w:rsidR="008B77A1" w:rsidRPr="00F41CDD" w:rsidRDefault="009C19D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Läromedel och rapporteringsmaterial</w:t>
            </w:r>
          </w:p>
        </w:tc>
        <w:tc>
          <w:tcPr>
            <w:tcW w:w="2268" w:type="dxa"/>
          </w:tcPr>
          <w:p w14:paraId="1D966A30" w14:textId="4EDB9655" w:rsidR="008B77A1" w:rsidRPr="00F41CDD" w:rsidRDefault="009C19D6" w:rsidP="00680C9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br/>
            </w:r>
            <w:r w:rsidR="00371AD2">
              <w:rPr>
                <w:rFonts w:cs="Arial"/>
                <w:b/>
              </w:rPr>
              <w:t>6</w:t>
            </w:r>
            <w:r>
              <w:rPr>
                <w:rFonts w:cs="Arial"/>
                <w:b/>
              </w:rPr>
              <w:t xml:space="preserve"> 000</w:t>
            </w:r>
          </w:p>
        </w:tc>
        <w:tc>
          <w:tcPr>
            <w:tcW w:w="3685" w:type="dxa"/>
            <w:vMerge/>
          </w:tcPr>
          <w:p w14:paraId="2E747C7E" w14:textId="77777777" w:rsidR="008B77A1" w:rsidRPr="00F41CDD" w:rsidRDefault="008B77A1" w:rsidP="00680C97">
            <w:pPr>
              <w:jc w:val="center"/>
              <w:rPr>
                <w:rFonts w:cs="Arial"/>
                <w:b/>
              </w:rPr>
            </w:pPr>
          </w:p>
        </w:tc>
      </w:tr>
      <w:tr w:rsidR="008B77A1" w:rsidRPr="00F41CDD" w14:paraId="2ACA58B2" w14:textId="77777777" w:rsidTr="008B77A1">
        <w:tc>
          <w:tcPr>
            <w:tcW w:w="2802" w:type="dxa"/>
          </w:tcPr>
          <w:p w14:paraId="29013D1D" w14:textId="77777777" w:rsidR="008B77A1" w:rsidRPr="00F41CDD" w:rsidRDefault="009C19D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br/>
              <w:t>Planering och uppföljning</w:t>
            </w:r>
          </w:p>
        </w:tc>
        <w:tc>
          <w:tcPr>
            <w:tcW w:w="2268" w:type="dxa"/>
          </w:tcPr>
          <w:p w14:paraId="2F924892" w14:textId="77777777" w:rsidR="008B77A1" w:rsidRPr="00F41CDD" w:rsidRDefault="00B05148" w:rsidP="009C19D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br/>
            </w:r>
            <w:r w:rsidR="009C19D6">
              <w:rPr>
                <w:rFonts w:cs="Arial"/>
                <w:b/>
              </w:rPr>
              <w:t>3 500</w:t>
            </w:r>
          </w:p>
        </w:tc>
        <w:tc>
          <w:tcPr>
            <w:tcW w:w="3685" w:type="dxa"/>
            <w:vMerge/>
          </w:tcPr>
          <w:p w14:paraId="19F6C403" w14:textId="77777777" w:rsidR="008B77A1" w:rsidRPr="00F41CDD" w:rsidRDefault="008B77A1" w:rsidP="00680C97">
            <w:pPr>
              <w:jc w:val="center"/>
              <w:rPr>
                <w:rFonts w:cs="Arial"/>
                <w:b/>
              </w:rPr>
            </w:pPr>
          </w:p>
        </w:tc>
      </w:tr>
      <w:tr w:rsidR="008B77A1" w:rsidRPr="00F41CDD" w14:paraId="62C8A073" w14:textId="77777777" w:rsidTr="008B77A1">
        <w:tc>
          <w:tcPr>
            <w:tcW w:w="2802" w:type="dxa"/>
          </w:tcPr>
          <w:p w14:paraId="2FB96195" w14:textId="77777777" w:rsidR="00B05148" w:rsidRDefault="00B05148">
            <w:pPr>
              <w:rPr>
                <w:rFonts w:cs="Arial"/>
                <w:b/>
              </w:rPr>
            </w:pPr>
          </w:p>
          <w:p w14:paraId="75E15E74" w14:textId="77777777" w:rsidR="008B77A1" w:rsidRPr="00F41CDD" w:rsidRDefault="008B77A1">
            <w:pPr>
              <w:rPr>
                <w:rFonts w:cs="Arial"/>
                <w:b/>
              </w:rPr>
            </w:pPr>
            <w:r w:rsidRPr="00F41CDD">
              <w:rPr>
                <w:rFonts w:cs="Arial"/>
                <w:b/>
              </w:rPr>
              <w:t>Totalt</w:t>
            </w:r>
          </w:p>
        </w:tc>
        <w:tc>
          <w:tcPr>
            <w:tcW w:w="2268" w:type="dxa"/>
          </w:tcPr>
          <w:p w14:paraId="61F1735C" w14:textId="1D1DC49F" w:rsidR="008B77A1" w:rsidRPr="00F41CDD" w:rsidRDefault="00B05148" w:rsidP="00680C9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br/>
            </w:r>
            <w:r w:rsidR="00B30C19">
              <w:rPr>
                <w:rFonts w:cs="Arial"/>
                <w:b/>
              </w:rPr>
              <w:t>2</w:t>
            </w:r>
            <w:r w:rsidR="00E74D01">
              <w:rPr>
                <w:rFonts w:cs="Arial"/>
                <w:b/>
              </w:rPr>
              <w:t>7</w:t>
            </w:r>
            <w:r w:rsidR="009C19D6">
              <w:rPr>
                <w:rFonts w:cs="Arial"/>
                <w:b/>
              </w:rPr>
              <w:t xml:space="preserve"> 5</w:t>
            </w:r>
            <w:r w:rsidR="00B30C19">
              <w:rPr>
                <w:rFonts w:cs="Arial"/>
                <w:b/>
              </w:rPr>
              <w:t>00</w:t>
            </w:r>
          </w:p>
        </w:tc>
        <w:tc>
          <w:tcPr>
            <w:tcW w:w="3685" w:type="dxa"/>
            <w:vMerge/>
          </w:tcPr>
          <w:p w14:paraId="06E38DEE" w14:textId="77777777" w:rsidR="008B77A1" w:rsidRPr="00F41CDD" w:rsidRDefault="008B77A1" w:rsidP="00680C97">
            <w:pPr>
              <w:jc w:val="center"/>
              <w:rPr>
                <w:rFonts w:cs="Arial"/>
                <w:b/>
              </w:rPr>
            </w:pPr>
          </w:p>
        </w:tc>
      </w:tr>
    </w:tbl>
    <w:p w14:paraId="45C0566F" w14:textId="74E7927B" w:rsidR="00E52127" w:rsidRPr="00F41CDD" w:rsidRDefault="00AD1C6D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</w:t>
      </w:r>
      <w:r w:rsidR="00B3616C">
        <w:rPr>
          <w:rFonts w:cs="Arial"/>
          <w:sz w:val="20"/>
          <w:szCs w:val="20"/>
        </w:rPr>
        <w:t xml:space="preserve">Bild: </w:t>
      </w:r>
      <w:proofErr w:type="spellStart"/>
      <w:r w:rsidR="00B3616C">
        <w:rPr>
          <w:rFonts w:cs="Arial"/>
          <w:sz w:val="20"/>
          <w:szCs w:val="20"/>
        </w:rPr>
        <w:t>Byhälsovolontärer</w:t>
      </w:r>
      <w:proofErr w:type="spellEnd"/>
      <w:r w:rsidR="00B3616C">
        <w:rPr>
          <w:rFonts w:cs="Arial"/>
          <w:sz w:val="20"/>
          <w:szCs w:val="20"/>
        </w:rPr>
        <w:t xml:space="preserve"> lär sig om </w:t>
      </w:r>
      <w:r w:rsidR="00D67E8C">
        <w:rPr>
          <w:rFonts w:cs="Arial"/>
          <w:sz w:val="20"/>
          <w:szCs w:val="20"/>
        </w:rPr>
        <w:t>en enkel handtvätt</w:t>
      </w:r>
      <w:r w:rsidR="00B3616C">
        <w:rPr>
          <w:rFonts w:cs="Arial"/>
          <w:sz w:val="20"/>
          <w:szCs w:val="20"/>
        </w:rPr>
        <w:t xml:space="preserve">metod. </w:t>
      </w:r>
    </w:p>
    <w:p w14:paraId="7EC0C76C" w14:textId="671133DE" w:rsidR="00E52127" w:rsidRPr="00F41CDD" w:rsidRDefault="00C56252">
      <w:pPr>
        <w:rPr>
          <w:rFonts w:cs="Arial"/>
        </w:rPr>
      </w:pPr>
      <w:r w:rsidRPr="00F41CDD">
        <w:rPr>
          <w:rFonts w:cs="Arial"/>
          <w:b/>
        </w:rPr>
        <w:t>Implementering</w:t>
      </w:r>
      <w:r w:rsidR="00680C97" w:rsidRPr="00F41CDD">
        <w:rPr>
          <w:rFonts w:cs="Arial"/>
          <w:b/>
        </w:rPr>
        <w:t xml:space="preserve"> och tidsperiod</w:t>
      </w:r>
      <w:r w:rsidRPr="00F41CDD">
        <w:rPr>
          <w:rFonts w:cs="Arial"/>
          <w:b/>
        </w:rPr>
        <w:t>:</w:t>
      </w:r>
      <w:r w:rsidR="00E52127" w:rsidRPr="00F41CDD">
        <w:rPr>
          <w:rFonts w:cs="Arial"/>
          <w:b/>
        </w:rPr>
        <w:br/>
      </w:r>
      <w:r w:rsidR="00E52127" w:rsidRPr="00F41CDD">
        <w:rPr>
          <w:rFonts w:cs="Arial"/>
        </w:rPr>
        <w:t xml:space="preserve">Projektet genomföras av en fältkoordinator </w:t>
      </w:r>
      <w:r w:rsidR="00AD1C6D">
        <w:rPr>
          <w:rFonts w:cs="Arial"/>
        </w:rPr>
        <w:t xml:space="preserve">i </w:t>
      </w:r>
      <w:r w:rsidR="00E52127" w:rsidRPr="00F41CDD">
        <w:rPr>
          <w:rFonts w:cs="Arial"/>
        </w:rPr>
        <w:t>Rotary</w:t>
      </w:r>
      <w:r w:rsidR="003A6ACF">
        <w:rPr>
          <w:rFonts w:cs="Arial"/>
        </w:rPr>
        <w:t xml:space="preserve"> Doctors </w:t>
      </w:r>
      <w:r w:rsidR="00AD1C6D">
        <w:rPr>
          <w:rFonts w:cs="Arial"/>
        </w:rPr>
        <w:t xml:space="preserve">samarbetsorganisation. </w:t>
      </w:r>
      <w:r w:rsidR="00680C97" w:rsidRPr="00F41CDD">
        <w:rPr>
          <w:rFonts w:cs="Arial"/>
        </w:rPr>
        <w:t>Proj</w:t>
      </w:r>
      <w:r w:rsidR="00D050BE">
        <w:rPr>
          <w:rFonts w:cs="Arial"/>
        </w:rPr>
        <w:t xml:space="preserve">ektet kan implementeras inom </w:t>
      </w:r>
      <w:r w:rsidR="00C70B57">
        <w:rPr>
          <w:rFonts w:cs="Arial"/>
        </w:rPr>
        <w:t xml:space="preserve">sex </w:t>
      </w:r>
      <w:r w:rsidR="00680C97" w:rsidRPr="00F41CDD">
        <w:rPr>
          <w:rFonts w:cs="Arial"/>
        </w:rPr>
        <w:t>måna</w:t>
      </w:r>
      <w:r w:rsidR="00D050BE">
        <w:rPr>
          <w:rFonts w:cs="Arial"/>
        </w:rPr>
        <w:t>der efter att en klubb bestämt</w:t>
      </w:r>
      <w:r w:rsidR="00680C97" w:rsidRPr="00F41CDD">
        <w:rPr>
          <w:rFonts w:cs="Arial"/>
        </w:rPr>
        <w:t xml:space="preserve"> sig för att stödja projektet.  </w:t>
      </w:r>
    </w:p>
    <w:p w14:paraId="44AF780A" w14:textId="322AD112" w:rsidR="00C56252" w:rsidRPr="00F41CDD" w:rsidRDefault="00C56252">
      <w:pPr>
        <w:rPr>
          <w:rFonts w:cs="Arial"/>
        </w:rPr>
      </w:pPr>
      <w:r w:rsidRPr="00F41CDD">
        <w:rPr>
          <w:rFonts w:cs="Arial"/>
          <w:b/>
        </w:rPr>
        <w:t>Uppföljning och rapportering</w:t>
      </w:r>
      <w:r w:rsidR="002522F2" w:rsidRPr="00F41CDD">
        <w:rPr>
          <w:rFonts w:cs="Arial"/>
          <w:b/>
        </w:rPr>
        <w:t>:</w:t>
      </w:r>
      <w:r w:rsidR="00680C97" w:rsidRPr="00F41CDD">
        <w:rPr>
          <w:rFonts w:cs="Arial"/>
          <w:b/>
        </w:rPr>
        <w:br/>
      </w:r>
      <w:r w:rsidR="00680C97" w:rsidRPr="00F41CDD">
        <w:rPr>
          <w:rFonts w:cs="Arial"/>
        </w:rPr>
        <w:t>Klubben får</w:t>
      </w:r>
      <w:r w:rsidR="00B321BD">
        <w:rPr>
          <w:rFonts w:cs="Arial"/>
        </w:rPr>
        <w:t xml:space="preserve"> en rapport om utbildningens genomförande med deltagarlista</w:t>
      </w:r>
      <w:r w:rsidR="00A671D3">
        <w:rPr>
          <w:rFonts w:cs="Arial"/>
        </w:rPr>
        <w:t xml:space="preserve"> och foton</w:t>
      </w:r>
      <w:r w:rsidR="00B321BD">
        <w:rPr>
          <w:rFonts w:cs="Arial"/>
        </w:rPr>
        <w:t xml:space="preserve">. </w:t>
      </w:r>
      <w:r w:rsidR="00680C97" w:rsidRPr="00F41CDD">
        <w:rPr>
          <w:rFonts w:cs="Arial"/>
        </w:rPr>
        <w:t>R</w:t>
      </w:r>
      <w:r w:rsidR="001F00BA">
        <w:rPr>
          <w:rFonts w:cs="Arial"/>
        </w:rPr>
        <w:t>apporten innehåller också</w:t>
      </w:r>
      <w:r w:rsidR="00680C97" w:rsidRPr="00F41CDD">
        <w:rPr>
          <w:rFonts w:cs="Arial"/>
        </w:rPr>
        <w:t xml:space="preserve"> kostnader i enlighet med budgetposterna. </w:t>
      </w:r>
      <w:r w:rsidR="00076901">
        <w:rPr>
          <w:rFonts w:cs="Arial"/>
        </w:rPr>
        <w:t>T</w:t>
      </w:r>
      <w:r w:rsidR="00B321BD">
        <w:rPr>
          <w:rFonts w:cs="Arial"/>
        </w:rPr>
        <w:t>re</w:t>
      </w:r>
      <w:r w:rsidR="00076901">
        <w:rPr>
          <w:rFonts w:cs="Arial"/>
        </w:rPr>
        <w:t xml:space="preserve"> och sex</w:t>
      </w:r>
      <w:r w:rsidR="00B321BD">
        <w:rPr>
          <w:rFonts w:cs="Arial"/>
        </w:rPr>
        <w:t xml:space="preserve"> månader ef</w:t>
      </w:r>
      <w:r w:rsidR="00A671D3">
        <w:rPr>
          <w:rFonts w:cs="Arial"/>
        </w:rPr>
        <w:t xml:space="preserve">ter utbildningen kommer en </w:t>
      </w:r>
      <w:r w:rsidR="00B321BD">
        <w:rPr>
          <w:rFonts w:cs="Arial"/>
        </w:rPr>
        <w:t>rapport om hur volontär</w:t>
      </w:r>
      <w:r w:rsidR="00E84E29">
        <w:rPr>
          <w:rFonts w:cs="Arial"/>
        </w:rPr>
        <w:t xml:space="preserve">erna har bidragit till att förbättra hälsan i </w:t>
      </w:r>
      <w:r w:rsidR="00B321BD">
        <w:rPr>
          <w:rFonts w:cs="Arial"/>
        </w:rPr>
        <w:t>deras egna byar</w:t>
      </w:r>
      <w:r w:rsidR="00224C33">
        <w:rPr>
          <w:rFonts w:cs="Arial"/>
        </w:rPr>
        <w:t xml:space="preserve">. </w:t>
      </w:r>
    </w:p>
    <w:p w14:paraId="1A9CF093" w14:textId="6AE3F02E" w:rsidR="00C56252" w:rsidRPr="00F41CDD" w:rsidRDefault="00C56252">
      <w:pPr>
        <w:rPr>
          <w:rFonts w:cs="Arial"/>
        </w:rPr>
      </w:pPr>
      <w:r w:rsidRPr="00F41CDD">
        <w:rPr>
          <w:rFonts w:cs="Arial"/>
          <w:b/>
        </w:rPr>
        <w:t>Hur klubben kan stödja</w:t>
      </w:r>
      <w:r w:rsidR="002522F2" w:rsidRPr="00F41CDD">
        <w:rPr>
          <w:rFonts w:cs="Arial"/>
          <w:b/>
        </w:rPr>
        <w:t>:</w:t>
      </w:r>
      <w:r w:rsidR="00680C97" w:rsidRPr="00F41CDD">
        <w:rPr>
          <w:rFonts w:cs="Arial"/>
          <w:b/>
        </w:rPr>
        <w:br/>
      </w:r>
      <w:r w:rsidR="00680C97" w:rsidRPr="00F41CDD">
        <w:rPr>
          <w:rFonts w:cs="Arial"/>
        </w:rPr>
        <w:t>En Rotaryklubb kan stö</w:t>
      </w:r>
      <w:r w:rsidR="00087F33">
        <w:rPr>
          <w:rFonts w:cs="Arial"/>
        </w:rPr>
        <w:t xml:space="preserve">dja detta projekt som </w:t>
      </w:r>
      <w:r w:rsidR="00087F33" w:rsidRPr="00B3616C">
        <w:rPr>
          <w:rFonts w:cs="Arial"/>
        </w:rPr>
        <w:t xml:space="preserve">kommer </w:t>
      </w:r>
      <w:r w:rsidR="00FE7B49">
        <w:rPr>
          <w:rFonts w:cs="Arial"/>
        </w:rPr>
        <w:t>6</w:t>
      </w:r>
      <w:r w:rsidR="001F00BA">
        <w:rPr>
          <w:rFonts w:cs="Arial"/>
        </w:rPr>
        <w:t xml:space="preserve">00 </w:t>
      </w:r>
      <w:r w:rsidR="00B05148" w:rsidRPr="00B3616C">
        <w:rPr>
          <w:rFonts w:cs="Arial"/>
        </w:rPr>
        <w:t>hushåll</w:t>
      </w:r>
      <w:r w:rsidR="00B05148">
        <w:rPr>
          <w:rFonts w:cs="Arial"/>
        </w:rPr>
        <w:t xml:space="preserve"> </w:t>
      </w:r>
      <w:r w:rsidR="00680C97" w:rsidRPr="00F41CDD">
        <w:rPr>
          <w:rFonts w:cs="Arial"/>
        </w:rPr>
        <w:t>till del</w:t>
      </w:r>
      <w:r w:rsidR="00B05148">
        <w:rPr>
          <w:rFonts w:cs="Arial"/>
        </w:rPr>
        <w:t xml:space="preserve">. </w:t>
      </w:r>
      <w:r w:rsidR="00680C97" w:rsidRPr="00F41CDD">
        <w:rPr>
          <w:rFonts w:cs="Arial"/>
        </w:rPr>
        <w:t xml:space="preserve"> </w:t>
      </w:r>
      <w:r w:rsidR="00F41CDD">
        <w:rPr>
          <w:rFonts w:cs="Arial"/>
        </w:rPr>
        <w:t>Det kan vara ett enskilt klubbprojekt</w:t>
      </w:r>
      <w:r w:rsidR="00B05148">
        <w:rPr>
          <w:rFonts w:cs="Arial"/>
        </w:rPr>
        <w:t>, två klubbar kan dela på projektet</w:t>
      </w:r>
      <w:r w:rsidR="00F41CDD">
        <w:rPr>
          <w:rFonts w:cs="Arial"/>
        </w:rPr>
        <w:t xml:space="preserve"> eller klubben kan söka samarbete med TRF eller </w:t>
      </w:r>
      <w:r w:rsidR="00A671D3">
        <w:rPr>
          <w:rFonts w:cs="Arial"/>
        </w:rPr>
        <w:br/>
      </w:r>
      <w:r w:rsidR="00F41CDD">
        <w:rPr>
          <w:rFonts w:cs="Arial"/>
        </w:rPr>
        <w:t>U-fonden.</w:t>
      </w:r>
      <w:r w:rsidR="00680C97" w:rsidRPr="00F41CDD">
        <w:rPr>
          <w:rFonts w:cs="Arial"/>
        </w:rPr>
        <w:t xml:space="preserve">  </w:t>
      </w:r>
      <w:r w:rsidR="00DA1C54">
        <w:rPr>
          <w:rFonts w:cs="Arial"/>
        </w:rPr>
        <w:t xml:space="preserve">  </w:t>
      </w:r>
      <w:r w:rsidR="00076901">
        <w:rPr>
          <w:rFonts w:cs="Arial"/>
        </w:rPr>
        <w:t xml:space="preserve">   </w:t>
      </w:r>
      <w:r w:rsidR="00A671D3">
        <w:rPr>
          <w:rFonts w:cs="Arial"/>
        </w:rPr>
        <w:t xml:space="preserve">                                                                                                        Uppdaterats: 202</w:t>
      </w:r>
      <w:r w:rsidR="008D7B93">
        <w:rPr>
          <w:rFonts w:cs="Arial"/>
        </w:rPr>
        <w:t>3</w:t>
      </w:r>
      <w:r w:rsidR="00A671D3">
        <w:rPr>
          <w:rFonts w:cs="Arial"/>
        </w:rPr>
        <w:t>-</w:t>
      </w:r>
      <w:r w:rsidR="00224C33">
        <w:rPr>
          <w:rFonts w:cs="Arial"/>
        </w:rPr>
        <w:t>0</w:t>
      </w:r>
      <w:r w:rsidR="008D7B93">
        <w:rPr>
          <w:rFonts w:cs="Arial"/>
        </w:rPr>
        <w:t>1</w:t>
      </w:r>
      <w:r w:rsidR="00A671D3">
        <w:rPr>
          <w:rFonts w:cs="Arial"/>
        </w:rPr>
        <w:t>-</w:t>
      </w:r>
      <w:r w:rsidR="008D7B93">
        <w:rPr>
          <w:rFonts w:cs="Arial"/>
        </w:rPr>
        <w:t>31</w:t>
      </w:r>
    </w:p>
    <w:sectPr w:rsidR="00C56252" w:rsidRPr="00F41CDD" w:rsidSect="0045005A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F750D" w14:textId="77777777" w:rsidR="00DE0476" w:rsidRDefault="00DE0476" w:rsidP="00141B85">
      <w:pPr>
        <w:spacing w:after="0" w:line="240" w:lineRule="auto"/>
      </w:pPr>
      <w:r>
        <w:separator/>
      </w:r>
    </w:p>
  </w:endnote>
  <w:endnote w:type="continuationSeparator" w:id="0">
    <w:p w14:paraId="1B0C6938" w14:textId="77777777" w:rsidR="00DE0476" w:rsidRDefault="00DE0476" w:rsidP="00141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DCC0A" w14:textId="77777777" w:rsidR="00DE0476" w:rsidRDefault="00DE0476" w:rsidP="00141B85">
      <w:pPr>
        <w:spacing w:after="0" w:line="240" w:lineRule="auto"/>
      </w:pPr>
      <w:r>
        <w:separator/>
      </w:r>
    </w:p>
  </w:footnote>
  <w:footnote w:type="continuationSeparator" w:id="0">
    <w:p w14:paraId="30B2B0C0" w14:textId="77777777" w:rsidR="00DE0476" w:rsidRDefault="00DE0476" w:rsidP="00141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0FD0A" w14:textId="1C61F870" w:rsidR="00A734FC" w:rsidRDefault="00A734FC">
    <w:pPr>
      <w:pStyle w:val="Sidhuvud"/>
    </w:pPr>
  </w:p>
  <w:p w14:paraId="73B3090D" w14:textId="77777777" w:rsidR="00B05148" w:rsidRDefault="00B0514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252"/>
    <w:rsid w:val="00030F97"/>
    <w:rsid w:val="000506EC"/>
    <w:rsid w:val="00053328"/>
    <w:rsid w:val="00063AE4"/>
    <w:rsid w:val="00065F29"/>
    <w:rsid w:val="00076901"/>
    <w:rsid w:val="00087F33"/>
    <w:rsid w:val="0010214C"/>
    <w:rsid w:val="00141B85"/>
    <w:rsid w:val="00166FA5"/>
    <w:rsid w:val="001B6E4C"/>
    <w:rsid w:val="001F00BA"/>
    <w:rsid w:val="001F348A"/>
    <w:rsid w:val="00224C33"/>
    <w:rsid w:val="002522F2"/>
    <w:rsid w:val="00337DCC"/>
    <w:rsid w:val="00347914"/>
    <w:rsid w:val="00371AD2"/>
    <w:rsid w:val="0037320B"/>
    <w:rsid w:val="00385927"/>
    <w:rsid w:val="003976D1"/>
    <w:rsid w:val="003A6ACF"/>
    <w:rsid w:val="00417528"/>
    <w:rsid w:val="00431A9F"/>
    <w:rsid w:val="0045005A"/>
    <w:rsid w:val="004A6F8E"/>
    <w:rsid w:val="004C5F3E"/>
    <w:rsid w:val="004E7C03"/>
    <w:rsid w:val="00527CE5"/>
    <w:rsid w:val="00547CEA"/>
    <w:rsid w:val="00680C97"/>
    <w:rsid w:val="0073485D"/>
    <w:rsid w:val="00761AEB"/>
    <w:rsid w:val="007D7BD5"/>
    <w:rsid w:val="00883E88"/>
    <w:rsid w:val="008B13BD"/>
    <w:rsid w:val="008B643F"/>
    <w:rsid w:val="008B77A1"/>
    <w:rsid w:val="008D7B93"/>
    <w:rsid w:val="008E70A5"/>
    <w:rsid w:val="00957FC6"/>
    <w:rsid w:val="009B40B6"/>
    <w:rsid w:val="009C19D6"/>
    <w:rsid w:val="00A03488"/>
    <w:rsid w:val="00A6110A"/>
    <w:rsid w:val="00A671D3"/>
    <w:rsid w:val="00A734FC"/>
    <w:rsid w:val="00A749D8"/>
    <w:rsid w:val="00AD1C6D"/>
    <w:rsid w:val="00AE3195"/>
    <w:rsid w:val="00B05148"/>
    <w:rsid w:val="00B30C19"/>
    <w:rsid w:val="00B321BD"/>
    <w:rsid w:val="00B3616C"/>
    <w:rsid w:val="00B63CAD"/>
    <w:rsid w:val="00B87381"/>
    <w:rsid w:val="00BE5A4C"/>
    <w:rsid w:val="00C56252"/>
    <w:rsid w:val="00C70B57"/>
    <w:rsid w:val="00CF3E62"/>
    <w:rsid w:val="00D050BE"/>
    <w:rsid w:val="00D22199"/>
    <w:rsid w:val="00D67E8C"/>
    <w:rsid w:val="00D81754"/>
    <w:rsid w:val="00D9422D"/>
    <w:rsid w:val="00D97228"/>
    <w:rsid w:val="00DA1C54"/>
    <w:rsid w:val="00DE0476"/>
    <w:rsid w:val="00E46F02"/>
    <w:rsid w:val="00E52127"/>
    <w:rsid w:val="00E74D01"/>
    <w:rsid w:val="00E8007D"/>
    <w:rsid w:val="00E84E29"/>
    <w:rsid w:val="00E852F2"/>
    <w:rsid w:val="00F41CDD"/>
    <w:rsid w:val="00FE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FFCBC"/>
  <w15:docId w15:val="{BA3C24E6-0745-4CF5-ACE9-76B73258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FC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52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141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41B85"/>
  </w:style>
  <w:style w:type="paragraph" w:styleId="Sidfot">
    <w:name w:val="footer"/>
    <w:basedOn w:val="Normal"/>
    <w:link w:val="SidfotChar"/>
    <w:uiPriority w:val="99"/>
    <w:unhideWhenUsed/>
    <w:rsid w:val="00141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41B85"/>
  </w:style>
  <w:style w:type="paragraph" w:styleId="Ballongtext">
    <w:name w:val="Balloon Text"/>
    <w:basedOn w:val="Normal"/>
    <w:link w:val="BallongtextChar"/>
    <w:uiPriority w:val="99"/>
    <w:semiHidden/>
    <w:unhideWhenUsed/>
    <w:rsid w:val="00C70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0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409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Håkansson</dc:creator>
  <cp:lastModifiedBy>Karin Håkansson</cp:lastModifiedBy>
  <cp:revision>35</cp:revision>
  <cp:lastPrinted>2019-03-15T09:10:00Z</cp:lastPrinted>
  <dcterms:created xsi:type="dcterms:W3CDTF">2015-03-12T10:21:00Z</dcterms:created>
  <dcterms:modified xsi:type="dcterms:W3CDTF">2023-04-19T09:01:00Z</dcterms:modified>
</cp:coreProperties>
</file>